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zioni al bilancio ai sensi dell'articolo 42, comma 3, del T.U. 267/2000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zioni al bilancio ai sensi dell'articolo 42, comma 3, del T.U. 267/2000.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